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BC163E" w:rsidRPr="00BC163E" w:rsidTr="00BC163E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BC163E">
              <w:rPr>
                <w:rFonts w:ascii="Neo Sans Pro" w:hAnsi="Neo Sans Pro"/>
              </w:rPr>
              <w:br w:type="page"/>
            </w: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 Pánuco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A672C3" w:rsidRPr="00BC163E" w:rsidTr="00BC163E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A672C3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A672C3" w:rsidRPr="00BC163E" w:rsidTr="00BC163E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BC163E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A672C3" w:rsidRPr="00BC163E" w:rsidTr="009F631C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Recepción  de Denuncia o Querella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672C3" w:rsidRPr="00BC163E" w:rsidRDefault="00B74BE1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¿En qué c</w:t>
            </w:r>
            <w:bookmarkStart w:id="0" w:name="_GoBack"/>
            <w:bookmarkEnd w:id="0"/>
            <w:r w:rsidRPr="00BC163E">
              <w:rPr>
                <w:rFonts w:ascii="Neo Sans Pro" w:hAnsi="Neo Sans Pro"/>
                <w:b/>
                <w:sz w:val="16"/>
                <w:szCs w:val="16"/>
              </w:rPr>
              <w:t xml:space="preserve">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A672C3" w:rsidRPr="00BC163E" w:rsidTr="00BC163E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A672C3" w:rsidRPr="00BC163E" w:rsidRDefault="00A672C3" w:rsidP="0090687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Cuando una persona es agraviada en hecho delictivo</w:t>
            </w:r>
            <w:r w:rsidR="0090687E" w:rsidRPr="00BC163E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Ninguno</w:t>
            </w:r>
          </w:p>
        </w:tc>
      </w:tr>
      <w:tr w:rsidR="00A672C3" w:rsidRPr="00BC163E" w:rsidTr="00BC163E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Inmediato</w:t>
            </w:r>
          </w:p>
        </w:tc>
      </w:tr>
      <w:tr w:rsidR="00A672C3" w:rsidRPr="00BC163E" w:rsidTr="00BC163E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A672C3" w:rsidRPr="00BC163E" w:rsidTr="009F631C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BC163E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A672C3" w:rsidRPr="00BC163E" w:rsidTr="00BC163E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No aplica</w:t>
            </w:r>
          </w:p>
        </w:tc>
      </w:tr>
      <w:tr w:rsidR="00A672C3" w:rsidRPr="00BC163E" w:rsidTr="00BC163E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A672C3" w:rsidRPr="00BC163E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Perjudicaría la sociedad ya que no se estaría impartiendo la administración de la justicia y no habría un equilibrio en el Estado de Derecho.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A672C3" w:rsidRPr="00BC163E" w:rsidTr="00BC163E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A672C3" w:rsidRPr="00BC163E" w:rsidTr="009F631C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03212E" w:rsidP="0003212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1.</w:t>
            </w:r>
            <w:r w:rsidR="00A672C3" w:rsidRPr="00BC163E">
              <w:rPr>
                <w:rFonts w:ascii="Neo Sans Pro" w:hAnsi="Neo Sans Pro"/>
                <w:sz w:val="16"/>
                <w:szCs w:val="16"/>
              </w:rPr>
              <w:t xml:space="preserve">Identificación oficial vigente con fotografía.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A672C3" w:rsidRPr="00BC163E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1, 8, 16 y  21 de la Constitución Política de los Estados Unidos Mexicanos; 52 y 67 Fracción I de la Constitución Local; 1, 2, 224, 127, 131 del Código Nacional; 5,6 y 7 de la Ley Orgánica de la Fiscalía General del Estado; 1, 8, 9, 24, 29 del Reglamento de la Ley antes invocada; Acuerdo 24/2014 publicado en la gaceta oficial en fecha 07 de Noviembre del año 2014.</w:t>
            </w: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2.Documento que acredite el hecho.(Depende tipo de delito)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3.</w:t>
            </w:r>
            <w:r w:rsidR="0090687E" w:rsidRPr="00BC163E">
              <w:rPr>
                <w:rFonts w:ascii="Neo Sans Pro" w:hAnsi="Neo Sans Pro"/>
                <w:sz w:val="16"/>
                <w:szCs w:val="16"/>
              </w:rPr>
              <w:t>Exhibición</w:t>
            </w:r>
            <w:r w:rsidRPr="00BC163E">
              <w:rPr>
                <w:rFonts w:ascii="Neo Sans Pro" w:hAnsi="Neo Sans Pro"/>
                <w:sz w:val="16"/>
                <w:szCs w:val="16"/>
              </w:rPr>
              <w:t xml:space="preserve"> de la factura para acreditar la propiedad.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BC163E" w:rsidRDefault="0090687E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BC163E" w:rsidTr="00BC163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A672C3" w:rsidRPr="00BC163E" w:rsidTr="00BC163E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A672C3" w:rsidRPr="00BC163E" w:rsidTr="009F631C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Fiscal de delitos diversos en turno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(846) 266  2976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(846 ) 266 22 29</w:t>
            </w:r>
          </w:p>
        </w:tc>
      </w:tr>
      <w:tr w:rsidR="00A672C3" w:rsidRPr="00BC163E" w:rsidTr="00BC163E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A672C3" w:rsidRPr="00BC163E" w:rsidTr="009F631C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Francisco J. Colorado Número 307, Colonia Maza, Pánuco, Veracruz.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Sábado de 9:00 a 14:00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(Guardia 24 Horas)</w:t>
            </w:r>
          </w:p>
        </w:tc>
      </w:tr>
      <w:tr w:rsidR="00A672C3" w:rsidRPr="00BC163E" w:rsidTr="00BC163E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A672C3" w:rsidRPr="00BC163E" w:rsidTr="00BC163E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BC163E" w:rsidRDefault="0045665A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A672C3"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A672C3" w:rsidRPr="00BC163E" w:rsidTr="00BC163E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Fiscal del 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Francisco J. Colorado Número 307, Colonia Maza, Pánuco,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(846) 266  2976</w:t>
            </w:r>
          </w:p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(846 ) 266 22 29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672C3" w:rsidRPr="00BC163E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uipj_d1@hotmail.com</w:t>
            </w:r>
          </w:p>
        </w:tc>
      </w:tr>
      <w:tr w:rsidR="00BC163E" w:rsidRPr="00BC163E" w:rsidTr="00B530A0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C163E" w:rsidRPr="00BC163E" w:rsidRDefault="00BC163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BC163E" w:rsidRPr="00BC163E" w:rsidTr="00BC163E">
        <w:trPr>
          <w:trHeight w:val="569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BC163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C163E" w:rsidRPr="00BC163E" w:rsidRDefault="00BC163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C163E" w:rsidRPr="00BC163E" w:rsidRDefault="00BC163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BC163E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0687E" w:rsidRPr="00BC163E" w:rsidTr="00BC163E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90687E" w:rsidRPr="00BC163E" w:rsidRDefault="0090687E" w:rsidP="009F631C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BC163E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0687E" w:rsidRPr="00BC163E" w:rsidTr="0090687E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90687E" w:rsidRPr="00BC163E" w:rsidRDefault="0090687E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BC163E">
              <w:rPr>
                <w:rFonts w:ascii="Neo Sans Pro" w:hAnsi="Neo Sans Pro"/>
                <w:sz w:val="16"/>
                <w:szCs w:val="16"/>
              </w:rPr>
              <w:t xml:space="preserve">Fiscal Sexta en la Unidad Integral de Procuración de Justicia, Distrito Judicial I. Pánuco, Veracruz. </w:t>
            </w:r>
          </w:p>
        </w:tc>
      </w:tr>
    </w:tbl>
    <w:p w:rsidR="000E5C35" w:rsidRDefault="000E5C35"/>
    <w:p w:rsidR="0097237C" w:rsidRDefault="0097237C" w:rsidP="0045665A">
      <w:pPr>
        <w:jc w:val="both"/>
        <w:rPr>
          <w:rFonts w:ascii="Arial Narrow" w:hAnsi="Arial Narrow" w:cs="Arial"/>
          <w:sz w:val="20"/>
        </w:rPr>
      </w:pPr>
    </w:p>
    <w:sectPr w:rsidR="0097237C" w:rsidSect="0071362C">
      <w:headerReference w:type="default" r:id="rId9"/>
      <w:pgSz w:w="12242" w:h="15842" w:code="1"/>
      <w:pgMar w:top="142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95" w:rsidRDefault="00851D95">
      <w:r>
        <w:separator/>
      </w:r>
    </w:p>
  </w:endnote>
  <w:endnote w:type="continuationSeparator" w:id="0">
    <w:p w:rsidR="00851D95" w:rsidRDefault="008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95" w:rsidRDefault="00851D95">
      <w:r>
        <w:separator/>
      </w:r>
    </w:p>
  </w:footnote>
  <w:footnote w:type="continuationSeparator" w:id="0">
    <w:p w:rsidR="00851D95" w:rsidRDefault="0085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E" w:rsidRDefault="00BC163E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5.85pt;margin-top:31.7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BC163E" w:rsidRDefault="00BC163E" w:rsidP="00BC163E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BC163E" w:rsidRDefault="00BC163E" w:rsidP="00BC163E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BC163E" w:rsidRDefault="00BC163E" w:rsidP="00BC163E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BC163E">
      <w:rPr>
        <w:noProof/>
      </w:rPr>
      <w:t xml:space="preserve"> </w:t>
    </w:r>
    <w:r>
      <w:rPr>
        <w:noProof/>
      </w:rPr>
      <w:drawing>
        <wp:inline distT="0" distB="0" distL="0" distR="0" wp14:anchorId="3C4F9F4C" wp14:editId="4FC44EBE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90687E" w:rsidRDefault="0090687E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46F"/>
    <w:multiLevelType w:val="hybridMultilevel"/>
    <w:tmpl w:val="F7B0A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212E"/>
    <w:rsid w:val="00045154"/>
    <w:rsid w:val="00056C6D"/>
    <w:rsid w:val="00062CBF"/>
    <w:rsid w:val="00076FAD"/>
    <w:rsid w:val="000803A0"/>
    <w:rsid w:val="000879DB"/>
    <w:rsid w:val="000916A9"/>
    <w:rsid w:val="000A0B13"/>
    <w:rsid w:val="000A4E60"/>
    <w:rsid w:val="000C018B"/>
    <w:rsid w:val="000D78B1"/>
    <w:rsid w:val="000D7A01"/>
    <w:rsid w:val="000E0708"/>
    <w:rsid w:val="000E0B43"/>
    <w:rsid w:val="000E2FB0"/>
    <w:rsid w:val="000E5C35"/>
    <w:rsid w:val="00107D4A"/>
    <w:rsid w:val="00126464"/>
    <w:rsid w:val="001369B1"/>
    <w:rsid w:val="00137AF2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1FB7"/>
    <w:rsid w:val="001F265D"/>
    <w:rsid w:val="00211D8B"/>
    <w:rsid w:val="002220B5"/>
    <w:rsid w:val="00237516"/>
    <w:rsid w:val="00244512"/>
    <w:rsid w:val="00251097"/>
    <w:rsid w:val="0026640E"/>
    <w:rsid w:val="002A1786"/>
    <w:rsid w:val="002B2BE3"/>
    <w:rsid w:val="002B4732"/>
    <w:rsid w:val="002B7DDF"/>
    <w:rsid w:val="002C2335"/>
    <w:rsid w:val="002C50A9"/>
    <w:rsid w:val="002C7CD8"/>
    <w:rsid w:val="002D5825"/>
    <w:rsid w:val="002E0678"/>
    <w:rsid w:val="003061BB"/>
    <w:rsid w:val="00306B97"/>
    <w:rsid w:val="00313898"/>
    <w:rsid w:val="00313DD6"/>
    <w:rsid w:val="003667FC"/>
    <w:rsid w:val="00375985"/>
    <w:rsid w:val="003B1BA4"/>
    <w:rsid w:val="003D76BC"/>
    <w:rsid w:val="003E4080"/>
    <w:rsid w:val="003E470D"/>
    <w:rsid w:val="003E5A04"/>
    <w:rsid w:val="003F18D3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5665A"/>
    <w:rsid w:val="00482DDC"/>
    <w:rsid w:val="00487592"/>
    <w:rsid w:val="0049612C"/>
    <w:rsid w:val="004D20DC"/>
    <w:rsid w:val="004D7125"/>
    <w:rsid w:val="004E0F59"/>
    <w:rsid w:val="004F0759"/>
    <w:rsid w:val="004F36D5"/>
    <w:rsid w:val="005035D7"/>
    <w:rsid w:val="0050491E"/>
    <w:rsid w:val="00520D1A"/>
    <w:rsid w:val="0052219D"/>
    <w:rsid w:val="0052341E"/>
    <w:rsid w:val="005344BB"/>
    <w:rsid w:val="005527A0"/>
    <w:rsid w:val="005B3426"/>
    <w:rsid w:val="005C1DB6"/>
    <w:rsid w:val="005E1651"/>
    <w:rsid w:val="005F1297"/>
    <w:rsid w:val="006150BB"/>
    <w:rsid w:val="00631C4F"/>
    <w:rsid w:val="00631DFD"/>
    <w:rsid w:val="00647B9C"/>
    <w:rsid w:val="00653EF8"/>
    <w:rsid w:val="006546C6"/>
    <w:rsid w:val="00667B02"/>
    <w:rsid w:val="00685E55"/>
    <w:rsid w:val="006A5E74"/>
    <w:rsid w:val="006A6EB1"/>
    <w:rsid w:val="006C1DB6"/>
    <w:rsid w:val="006C3B61"/>
    <w:rsid w:val="006C7791"/>
    <w:rsid w:val="006F07F3"/>
    <w:rsid w:val="00701B3E"/>
    <w:rsid w:val="0070340D"/>
    <w:rsid w:val="0071362C"/>
    <w:rsid w:val="00715E9C"/>
    <w:rsid w:val="00716910"/>
    <w:rsid w:val="007249E9"/>
    <w:rsid w:val="0074447D"/>
    <w:rsid w:val="007517D5"/>
    <w:rsid w:val="007850FC"/>
    <w:rsid w:val="0079309E"/>
    <w:rsid w:val="007A14F8"/>
    <w:rsid w:val="007A51DA"/>
    <w:rsid w:val="007C6B8D"/>
    <w:rsid w:val="007E27A8"/>
    <w:rsid w:val="007F4448"/>
    <w:rsid w:val="00814A62"/>
    <w:rsid w:val="0081561C"/>
    <w:rsid w:val="00851D95"/>
    <w:rsid w:val="0085497E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87E"/>
    <w:rsid w:val="00906E25"/>
    <w:rsid w:val="009126A8"/>
    <w:rsid w:val="00916863"/>
    <w:rsid w:val="009327DA"/>
    <w:rsid w:val="0097237C"/>
    <w:rsid w:val="00973B81"/>
    <w:rsid w:val="00980170"/>
    <w:rsid w:val="00983626"/>
    <w:rsid w:val="00987CF6"/>
    <w:rsid w:val="00987E3E"/>
    <w:rsid w:val="00995A09"/>
    <w:rsid w:val="009B1DDF"/>
    <w:rsid w:val="009B4785"/>
    <w:rsid w:val="009B4CC3"/>
    <w:rsid w:val="009C286A"/>
    <w:rsid w:val="009C3F55"/>
    <w:rsid w:val="009C54B9"/>
    <w:rsid w:val="009F2EB0"/>
    <w:rsid w:val="009F5520"/>
    <w:rsid w:val="009F631C"/>
    <w:rsid w:val="00A03195"/>
    <w:rsid w:val="00A03A5D"/>
    <w:rsid w:val="00A132D7"/>
    <w:rsid w:val="00A1425F"/>
    <w:rsid w:val="00A14546"/>
    <w:rsid w:val="00A25F3B"/>
    <w:rsid w:val="00A33089"/>
    <w:rsid w:val="00A43252"/>
    <w:rsid w:val="00A532D8"/>
    <w:rsid w:val="00A672C3"/>
    <w:rsid w:val="00A7620F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74BE1"/>
    <w:rsid w:val="00B848D0"/>
    <w:rsid w:val="00B84F86"/>
    <w:rsid w:val="00B87368"/>
    <w:rsid w:val="00BA6424"/>
    <w:rsid w:val="00BA7EAC"/>
    <w:rsid w:val="00BB4CA5"/>
    <w:rsid w:val="00BC02AF"/>
    <w:rsid w:val="00BC163E"/>
    <w:rsid w:val="00BD6572"/>
    <w:rsid w:val="00BD71C8"/>
    <w:rsid w:val="00C11D67"/>
    <w:rsid w:val="00C35CFC"/>
    <w:rsid w:val="00C37DBE"/>
    <w:rsid w:val="00C43F33"/>
    <w:rsid w:val="00C4740F"/>
    <w:rsid w:val="00C524C5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C5FE7"/>
    <w:rsid w:val="00CD54C6"/>
    <w:rsid w:val="00D14DEB"/>
    <w:rsid w:val="00D21513"/>
    <w:rsid w:val="00D53FE2"/>
    <w:rsid w:val="00D578E3"/>
    <w:rsid w:val="00D721D4"/>
    <w:rsid w:val="00D90E71"/>
    <w:rsid w:val="00D92C3B"/>
    <w:rsid w:val="00DA51E7"/>
    <w:rsid w:val="00DC0E11"/>
    <w:rsid w:val="00DC1785"/>
    <w:rsid w:val="00DD2744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6D3D"/>
    <w:rsid w:val="00ED77C8"/>
    <w:rsid w:val="00EE3350"/>
    <w:rsid w:val="00EF4916"/>
    <w:rsid w:val="00F111FA"/>
    <w:rsid w:val="00F17E6F"/>
    <w:rsid w:val="00F35A80"/>
    <w:rsid w:val="00F43ACC"/>
    <w:rsid w:val="00F510EE"/>
    <w:rsid w:val="00F55EC7"/>
    <w:rsid w:val="00F55F2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F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2E0C-FC96-418C-AED2-8696FF4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4</cp:revision>
  <cp:lastPrinted>2015-10-10T01:16:00Z</cp:lastPrinted>
  <dcterms:created xsi:type="dcterms:W3CDTF">2016-08-31T09:01:00Z</dcterms:created>
  <dcterms:modified xsi:type="dcterms:W3CDTF">2017-04-04T17:06:00Z</dcterms:modified>
</cp:coreProperties>
</file>